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Међународне студије, модул: Студије савременог Балкана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Регионална сарадња на Балкану</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Јелица Стефановић-Штамбук, проф. др Драган Ђукановић, проф. др Тања Мишчевић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обавезан</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highlight w:val="white"/>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 </w:t>
            </w:r>
            <w:r w:rsidDel="00000000" w:rsidR="00000000" w:rsidRPr="00000000">
              <w:rPr>
                <w:rFonts w:ascii="Times New Roman" w:cs="Times New Roman" w:eastAsia="Times New Roman" w:hAnsi="Times New Roman"/>
                <w:sz w:val="20"/>
                <w:szCs w:val="20"/>
                <w:highlight w:val="white"/>
                <w:vertAlign w:val="baseline"/>
                <w:rtl w:val="0"/>
              </w:rPr>
              <w:t xml:space="preserve">Завршене основне академске студије обима 240 ЕСПБ и испуњеност посебних услова пријемног конкурса на програме академских мастер студија Универзитета у Београду – Факултета политичких наука.</w:t>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Fonts w:ascii="Times New Roman" w:cs="Times New Roman" w:eastAsia="Times New Roman" w:hAnsi="Times New Roman"/>
                <w:sz w:val="20"/>
                <w:szCs w:val="20"/>
                <w:vertAlign w:val="baseline"/>
                <w:rtl w:val="0"/>
              </w:rPr>
              <w:t xml:space="preserve"> Стварање кохерентних сазнања о теоријским и практичним разлозима противречних токова сарадње на Балкану и обликовања региона Балкана конфликтима и сарадњом од званичног окончања постојања хладноратовског система у Европи до данас. Упознавање аналитичких поступака новог и компаративног регионализма у разумевању процеса структурирања мултилатералне регионалне сарадње на Западном Балкану. Упоредно представљање интеррегионално и регионално предузиманих деловања из и ван региона Балкана за успостављање трајних мултилатералних структура регионалне сарадње. Истраживање тока свођења региона Балкана на Западни Балкан и одвијајућих процеса уобличавања режима мултилатералне сарадње Западног Балкана. Проучавање мултилатералних пракси регионалне сарадње и интегрисања Западног Балкана. Превазилажење јаза између академског стицања знања у учионици и стварности вршењем практичног обучавања у остваривању рада мултилатералних структура регионалне сарадње на Западном Балкану.</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5">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w:t>
            </w:r>
            <w:r w:rsidDel="00000000" w:rsidR="00000000" w:rsidRPr="00000000">
              <w:rPr>
                <w:rFonts w:ascii="Times New Roman" w:cs="Times New Roman" w:eastAsia="Times New Roman" w:hAnsi="Times New Roman"/>
                <w:sz w:val="20"/>
                <w:szCs w:val="20"/>
                <w:vertAlign w:val="baseline"/>
                <w:rtl w:val="0"/>
              </w:rPr>
              <w:t xml:space="preserve">. Постигнуто разумевање темељних појмова међународног регионализма, мултилатералне регионалне сарадње, и питања и дебата о регионалној мултилатералној сарадњи и интегрисању на Балкану. Познавање интереса и опредељења различитих актера за посебне облике мултилатералне праксе регионалне сарадње на Балкану, као и динамика и учинака интеррегионалног и регионалног мултилатерализма на правце и стања регионалне сарадње на Балкану у целини и у појединим областима. Оспособљеност за критичко анализирање покретача, препрека и тежишта регионалне сарадње на Балкану и разлога неуравнотежености развијања мултилатералног режима регионалне сарадње. Оснаженост развијеним аналитичким и практичним вештинама за ангажовање и самостално и скупно са другим заинтересованима на предлагању, заговарању и предузимању активности у процесима мултилатералне регионалне сарадње на Балкану, као у спровођењу анализа и теоријских и емпиријских истраживања мултилатералних процеса и режима сарадње на Балкану. </w:t>
            </w:r>
          </w:p>
        </w:tc>
      </w:tr>
      <w:tr>
        <w:trPr>
          <w:trHeight w:val="227" w:hRule="atLeast"/>
        </w:trPr>
        <w:tc>
          <w:tcPr>
            <w:gridSpan w:val="5"/>
            <w:vAlign w:val="center"/>
          </w:tcPr>
          <w:p w:rsidR="00000000" w:rsidDel="00000000" w:rsidP="00000000" w:rsidRDefault="00000000" w:rsidRPr="00000000" w14:paraId="0000002A">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Fonts w:ascii="Times New Roman" w:cs="Times New Roman" w:eastAsia="Times New Roman" w:hAnsi="Times New Roman"/>
                <w:sz w:val="20"/>
                <w:szCs w:val="20"/>
                <w:vertAlign w:val="baseline"/>
                <w:rtl w:val="0"/>
              </w:rPr>
              <w:t xml:space="preserve">. </w:t>
            </w:r>
            <w:r w:rsidDel="00000000" w:rsidR="00000000" w:rsidRPr="00000000">
              <w:rPr>
                <w:rFonts w:ascii="Times New Roman" w:cs="Times New Roman" w:eastAsia="Times New Roman" w:hAnsi="Times New Roman"/>
                <w:i w:val="1"/>
                <w:sz w:val="20"/>
                <w:szCs w:val="20"/>
                <w:u w:val="single"/>
                <w:vertAlign w:val="baseline"/>
                <w:rtl w:val="0"/>
              </w:rPr>
              <w:t xml:space="preserve">Теоријска настава</w:t>
            </w:r>
            <w:r w:rsidDel="00000000" w:rsidR="00000000" w:rsidRPr="00000000">
              <w:rPr>
                <w:rFonts w:ascii="Times New Roman" w:cs="Times New Roman" w:eastAsia="Times New Roman" w:hAnsi="Times New Roman"/>
                <w:sz w:val="20"/>
                <w:szCs w:val="20"/>
                <w:vertAlign w:val="baseline"/>
                <w:rtl w:val="0"/>
              </w:rPr>
              <w:t xml:space="preserve">. 1. Теоријски приступи и истраживачки програми регионалне сарадње институционалног и умрежавајућег регионалног мултилатерализма. 2. Теорије и концепти принципа, односа, актера и сектора у мултилатералним праксама процеса регионалне интеграције и регионалне сарадње старог и новог међународног регионализма. 3. Хладноратовски међународни мултилатерални режим дерегионализације Балкана и аутономни међувладин мултилатерални процес регионализовања узајамне међузависности Балкана после усвајања Хелсиншког завршног акта до Париске повеље за нову Европу. 4. Процес интер-регионалног мултилатерализма од Квадригонале 1989. године до Средњоевропске иницијативе за европску интеграцију и одрживи развој и процес Црноморске економске сарадње: потпора или не регионалној сарадњи на Балкану. 5. Мултилатерални процеси одржања регионалне стабилности Балкана током југословенских сукоба до 1995. године. 6. Надметање за стабилизацију региона мултилатералним иницијативама подршке процесу регионалне сарадње на Балкану од 1996. до 1998. године (Иницијатива за сарадњу у Југоисточној Европи – СЕЦИ, Ројамонски процес, Регионални приступ ЕУ за Југоисточну Европу). 7. Реструктурисање Југоисточне Европе и поступно успостављање региона Западног Балкана: приступ регионалне сарадње Пакта стабилности за Југоисточну Европу после 1999. године. 8. Обавезивање Западног Балкана на мултилатералну регионалну сарадњу процесом стабилизације и придруживања Европској унији. 9. Подржавање стварања власништва регионалне сарадње на Западном Балкану успостављањем Регионалног савета за сарадњу. 10. Мултилатерална регионална сарадња на Балкану у оквиру Дунавске и Јадранске-Јонске макрорегионалне стратегије ЕУ. 11. Подстицаји мултилатералног Берлинског процеса институционализацији регионалне сарадње на Западном Балкану. 12. Утицаји европских и ван европских мултилатералних регионалних процеса и институција на динамику регионалне сарадње Западног Балкана. </w:t>
            </w:r>
            <w:r w:rsidDel="00000000" w:rsidR="00000000" w:rsidRPr="00000000">
              <w:rPr>
                <w:rFonts w:ascii="Times New Roman" w:cs="Times New Roman" w:eastAsia="Times New Roman" w:hAnsi="Times New Roman"/>
                <w:i w:val="1"/>
                <w:sz w:val="20"/>
                <w:szCs w:val="20"/>
                <w:u w:val="single"/>
                <w:vertAlign w:val="baseline"/>
                <w:rtl w:val="0"/>
              </w:rPr>
              <w:t xml:space="preserve">Практична настава</w:t>
            </w:r>
            <w:r w:rsidDel="00000000" w:rsidR="00000000" w:rsidRPr="00000000">
              <w:rPr>
                <w:rFonts w:ascii="Times New Roman" w:cs="Times New Roman" w:eastAsia="Times New Roman" w:hAnsi="Times New Roman"/>
                <w:i w:val="1"/>
                <w:sz w:val="20"/>
                <w:szCs w:val="20"/>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Истраживање подстицаја Зелене агенде за Западни Балкан мултилатералном режиму регионалне сарадње на Западном Балкану проистекло из једнонедељне студијске праксе (или у Регионалном савету за сарадњу, или Регионалној канцеларији за сарадњу младих, или Западнобалканском фонду, или Секретаријату Транспортне заједнице Југоисточне Европе или Секретаријату Енергетске заједнице Југоисточне Европе).</w:t>
            </w:r>
          </w:p>
        </w:tc>
      </w:tr>
      <w:tr>
        <w:trPr>
          <w:trHeight w:val="227" w:hRule="atLeast"/>
        </w:trPr>
        <w:tc>
          <w:tcPr>
            <w:gridSpan w:val="5"/>
            <w:vAlign w:val="center"/>
          </w:tcPr>
          <w:p w:rsidR="00000000" w:rsidDel="00000000" w:rsidP="00000000" w:rsidRDefault="00000000" w:rsidRPr="00000000" w14:paraId="0000002F">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Fonts w:ascii="Times New Roman" w:cs="Times New Roman" w:eastAsia="Times New Roman" w:hAnsi="Times New Roman"/>
                <w:sz w:val="20"/>
                <w:szCs w:val="20"/>
                <w:vertAlign w:val="baseline"/>
                <w:rtl w:val="0"/>
              </w:rPr>
              <w:t xml:space="preserve">Јелица Стефановић-Штамбук, „Региони у 'старом' и 'новом' регионализму: успостављање новог 'нивоа анализе' светске политике“, Српска политичка мисао, 2009, вол. 25, бр. 3, стр. 103-133; Јелица Стефановић-Штамбук, „Мултилатерализам и интеррегионализам за нову архитектуру глобалне владавине“, Годишњак ФПН 2009, 2009, год. III, бр. 3, стр. 419-438; Драган Ђукановић, </w:t>
            </w:r>
            <w:r w:rsidDel="00000000" w:rsidR="00000000" w:rsidRPr="00000000">
              <w:rPr>
                <w:rFonts w:ascii="Times New Roman" w:cs="Times New Roman" w:eastAsia="Times New Roman" w:hAnsi="Times New Roman"/>
                <w:i w:val="1"/>
                <w:sz w:val="20"/>
                <w:szCs w:val="20"/>
                <w:vertAlign w:val="baseline"/>
                <w:rtl w:val="0"/>
              </w:rPr>
              <w:t xml:space="preserve">Балкан на постхладноратовском раскршћу (1989-2020)</w:t>
            </w:r>
            <w:r w:rsidDel="00000000" w:rsidR="00000000" w:rsidRPr="00000000">
              <w:rPr>
                <w:rFonts w:ascii="Times New Roman" w:cs="Times New Roman" w:eastAsia="Times New Roman" w:hAnsi="Times New Roman"/>
                <w:sz w:val="20"/>
                <w:szCs w:val="20"/>
                <w:vertAlign w:val="baseline"/>
                <w:rtl w:val="0"/>
              </w:rPr>
              <w:t xml:space="preserve">, Друго издање, Београд: Институт за међународну политику и привреду, Службени гласник, 2020; Душко Лопандић, Јасминка Кроња, </w:t>
            </w:r>
            <w:r w:rsidDel="00000000" w:rsidR="00000000" w:rsidRPr="00000000">
              <w:rPr>
                <w:rFonts w:ascii="Times New Roman" w:cs="Times New Roman" w:eastAsia="Times New Roman" w:hAnsi="Times New Roman"/>
                <w:i w:val="1"/>
                <w:sz w:val="20"/>
                <w:szCs w:val="20"/>
                <w:vertAlign w:val="baseline"/>
                <w:rtl w:val="0"/>
              </w:rPr>
              <w:t xml:space="preserve">Регионалне иницијативе и мултилатерална сарадња на Балкану</w:t>
            </w:r>
            <w:r w:rsidDel="00000000" w:rsidR="00000000" w:rsidRPr="00000000">
              <w:rPr>
                <w:rFonts w:ascii="Times New Roman" w:cs="Times New Roman" w:eastAsia="Times New Roman" w:hAnsi="Times New Roman"/>
                <w:sz w:val="20"/>
                <w:szCs w:val="20"/>
                <w:vertAlign w:val="baseline"/>
                <w:rtl w:val="0"/>
              </w:rPr>
              <w:t xml:space="preserve">, Београд: Европски покрет у Србији, Фондација Фридрих Еберт, 2010; Erhard Busek, Björn Kühne, </w:t>
            </w:r>
            <w:r w:rsidDel="00000000" w:rsidR="00000000" w:rsidRPr="00000000">
              <w:rPr>
                <w:rFonts w:ascii="Times New Roman" w:cs="Times New Roman" w:eastAsia="Times New Roman" w:hAnsi="Times New Roman"/>
                <w:i w:val="1"/>
                <w:sz w:val="20"/>
                <w:szCs w:val="20"/>
                <w:vertAlign w:val="baseline"/>
                <w:rtl w:val="0"/>
              </w:rPr>
              <w:t xml:space="preserve">From Stabilisation to Integration. The Stability Pact for South Eastern Europe</w:t>
            </w:r>
            <w:r w:rsidDel="00000000" w:rsidR="00000000" w:rsidRPr="00000000">
              <w:rPr>
                <w:rFonts w:ascii="Times New Roman" w:cs="Times New Roman" w:eastAsia="Times New Roman" w:hAnsi="Times New Roman"/>
                <w:sz w:val="20"/>
                <w:szCs w:val="20"/>
                <w:vertAlign w:val="baseline"/>
                <w:rtl w:val="0"/>
              </w:rPr>
              <w:t xml:space="preserve">, Wien: Bőhlau, 2010; Dimitar Bechev, </w:t>
            </w:r>
            <w:r w:rsidDel="00000000" w:rsidR="00000000" w:rsidRPr="00000000">
              <w:rPr>
                <w:rFonts w:ascii="Times New Roman" w:cs="Times New Roman" w:eastAsia="Times New Roman" w:hAnsi="Times New Roman"/>
                <w:i w:val="1"/>
                <w:sz w:val="20"/>
                <w:szCs w:val="20"/>
                <w:vertAlign w:val="baseline"/>
                <w:rtl w:val="0"/>
              </w:rPr>
              <w:t xml:space="preserve">Constructing South East Europe: The Politics of Balkan Regional Cooperation</w:t>
            </w:r>
            <w:r w:rsidDel="00000000" w:rsidR="00000000" w:rsidRPr="00000000">
              <w:rPr>
                <w:rFonts w:ascii="Times New Roman" w:cs="Times New Roman" w:eastAsia="Times New Roman" w:hAnsi="Times New Roman"/>
                <w:sz w:val="20"/>
                <w:szCs w:val="20"/>
                <w:vertAlign w:val="baseline"/>
                <w:rtl w:val="0"/>
              </w:rPr>
              <w:t xml:space="preserve">, Palgrave Macmillan UK 2011;</w:t>
            </w:r>
            <w:r w:rsidDel="00000000" w:rsidR="00000000" w:rsidRPr="00000000">
              <w:rPr>
                <w:rFonts w:ascii="TheSansOsF-Plain" w:cs="TheSansOsF-Plain" w:eastAsia="TheSansOsF-Plain" w:hAnsi="TheSansOsF-Plain"/>
                <w:sz w:val="24"/>
                <w:szCs w:val="24"/>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Christophe Solioz, </w:t>
            </w:r>
            <w:r w:rsidDel="00000000" w:rsidR="00000000" w:rsidRPr="00000000">
              <w:rPr>
                <w:rFonts w:ascii="Times New Roman" w:cs="Times New Roman" w:eastAsia="Times New Roman" w:hAnsi="Times New Roman"/>
                <w:i w:val="1"/>
                <w:sz w:val="20"/>
                <w:szCs w:val="20"/>
                <w:vertAlign w:val="baseline"/>
                <w:rtl w:val="0"/>
              </w:rPr>
              <w:t xml:space="preserve">Thinking the Balkans Out of the Box, EU Integration and Regional Cooperation –Challenges, Models, Lessons</w:t>
            </w:r>
            <w:r w:rsidDel="00000000" w:rsidR="00000000" w:rsidRPr="00000000">
              <w:rPr>
                <w:rFonts w:ascii="Times New Roman" w:cs="Times New Roman" w:eastAsia="Times New Roman" w:hAnsi="Times New Roman"/>
                <w:sz w:val="20"/>
                <w:szCs w:val="20"/>
                <w:vertAlign w:val="baseline"/>
                <w:rtl w:val="0"/>
              </w:rPr>
              <w:t xml:space="preserve">, Baden-Baden: Nomos Verlagsgesellschaft, 2017.</w:t>
            </w:r>
          </w:p>
        </w:tc>
      </w:tr>
      <w:tr>
        <w:trPr>
          <w:trHeight w:val="227" w:hRule="atLeast"/>
        </w:trPr>
        <w:tc>
          <w:tcPr>
            <w:vAlign w:val="center"/>
          </w:tcPr>
          <w:p w:rsidR="00000000" w:rsidDel="00000000" w:rsidP="00000000" w:rsidRDefault="00000000" w:rsidRPr="00000000" w14:paraId="0000003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3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3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Fonts w:ascii="Times New Roman" w:cs="Times New Roman" w:eastAsia="Times New Roman" w:hAnsi="Times New Roman"/>
                <w:sz w:val="20"/>
                <w:szCs w:val="20"/>
                <w:vertAlign w:val="baseline"/>
                <w:rtl w:val="0"/>
              </w:rPr>
              <w:t xml:space="preserve">+15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 </w:t>
            </w:r>
            <w:r w:rsidDel="00000000" w:rsidR="00000000" w:rsidRPr="00000000">
              <w:rPr>
                <w:rFonts w:ascii="Times New Roman" w:cs="Times New Roman" w:eastAsia="Times New Roman" w:hAnsi="Times New Roman"/>
                <w:sz w:val="20"/>
                <w:szCs w:val="20"/>
                <w:vertAlign w:val="baseline"/>
                <w:rtl w:val="0"/>
              </w:rPr>
              <w:t xml:space="preserve">предавања, вежбе, једнонедељно стажирање, самостални истраживачки рад</w:t>
            </w:r>
          </w:p>
        </w:tc>
      </w:tr>
      <w:tr>
        <w:trPr>
          <w:trHeight w:val="227" w:hRule="atLeast"/>
        </w:trPr>
        <w:tc>
          <w:tcPr>
            <w:gridSpan w:val="5"/>
            <w:vAlign w:val="center"/>
          </w:tcPr>
          <w:p w:rsidR="00000000" w:rsidDel="00000000" w:rsidP="00000000" w:rsidRDefault="00000000" w:rsidRPr="00000000" w14:paraId="0000003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44">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4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4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4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9">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4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4B">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4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E">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4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5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5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5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5">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57">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8">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A">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5C">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5D">
      <w:pPr>
        <w:rPr>
          <w:vertAlign w:val="baseline"/>
        </w:rPr>
      </w:pPr>
      <w:r w:rsidDel="00000000" w:rsidR="00000000" w:rsidRPr="00000000">
        <w:rPr>
          <w:rtl w:val="0"/>
        </w:rPr>
      </w:r>
    </w:p>
    <w:p w:rsidR="00000000" w:rsidDel="00000000" w:rsidP="00000000" w:rsidRDefault="00000000" w:rsidRPr="00000000" w14:paraId="0000005E">
      <w:pPr>
        <w:rPr>
          <w:rFonts w:ascii="Garamond" w:cs="Garamond" w:eastAsia="Garamond" w:hAnsi="Garamond"/>
          <w:color w:val="000000"/>
          <w:sz w:val="20"/>
          <w:szCs w:val="20"/>
          <w:vertAlign w:val="baseline"/>
        </w:rPr>
      </w:pPr>
      <w:r w:rsidDel="00000000" w:rsidR="00000000" w:rsidRPr="00000000">
        <w:rPr>
          <w:rtl w:val="0"/>
        </w:rPr>
      </w:r>
    </w:p>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TheSansOsF-Plai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b w:val="1"/>
      <w:sz w:val="48"/>
      <w:szCs w:val="48"/>
      <w:vertAlign w:val="baseline"/>
    </w:rPr>
  </w:style>
  <w:style w:type="paragraph" w:styleId="Heading2">
    <w:name w:val="heading 2"/>
    <w:basedOn w:val="Normal"/>
    <w:next w:val="Normal"/>
    <w:pPr/>
    <w:rPr>
      <w:rFonts w:ascii="Times New Roman" w:cs="Times New Roman" w:eastAsia="Times New Roman" w:hAnsi="Times New Roman"/>
      <w:b w:val="1"/>
      <w:sz w:val="36"/>
      <w:szCs w:val="36"/>
      <w:vertAlign w:val="baseline"/>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paragraph" w:styleId="Heading1">
    <w:name w:val="Heading 1"/>
    <w:basedOn w:val="Normal"/>
    <w:next w:val="Heading1"/>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b w:val="1"/>
      <w:bCs w:val="1"/>
      <w:w w:val="100"/>
      <w:kern w:val="36"/>
      <w:position w:val="-1"/>
      <w:sz w:val="48"/>
      <w:szCs w:val="48"/>
      <w:effect w:val="none"/>
      <w:vertAlign w:val="baseline"/>
      <w:cs w:val="0"/>
      <w:em w:val="none"/>
      <w:lang w:bidi="ar-SA" w:eastAsia="en-US" w:val="en-US"/>
    </w:rPr>
  </w:style>
  <w:style w:type="paragraph" w:styleId="Heading2">
    <w:name w:val="Heading 2"/>
    <w:basedOn w:val="Normal"/>
    <w:next w:val="Heading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1"/>
    </w:pPr>
    <w:rPr>
      <w:rFonts w:ascii="Times New Roman" w:eastAsia="Times New Roman" w:hAnsi="Times New Roman"/>
      <w:b w:val="1"/>
      <w:bCs w:val="1"/>
      <w:w w:val="100"/>
      <w:position w:val="-1"/>
      <w:sz w:val="36"/>
      <w:szCs w:val="36"/>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Hyperlink">
    <w:name w:val="Hyperlink"/>
    <w:next w:val="Hyperlink"/>
    <w:autoRedefine w:val="0"/>
    <w:hidden w:val="0"/>
    <w:qFormat w:val="1"/>
    <w:rPr>
      <w:color w:val="0563c1"/>
      <w:w w:val="100"/>
      <w:position w:val="-1"/>
      <w:u w:val="single"/>
      <w:effect w:val="none"/>
      <w:vertAlign w:val="baseline"/>
      <w:cs w:val="0"/>
      <w:em w:val="none"/>
      <w:lang/>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en-US" w:val="und"/>
    </w:rPr>
  </w:style>
  <w:style w:type="character" w:styleId="CommentTextChar">
    <w:name w:val="Comment Text Char"/>
    <w:next w:val="CommentTextChar"/>
    <w:autoRedefine w:val="0"/>
    <w:hidden w:val="0"/>
    <w:qFormat w:val="0"/>
    <w:rPr>
      <w:w w:val="100"/>
      <w:position w:val="-1"/>
      <w:effect w:val="none"/>
      <w:vertAlign w:val="baseline"/>
      <w:cs w:val="0"/>
      <w:em w:val="none"/>
      <w:lang w:val="und"/>
    </w:rPr>
  </w:style>
  <w:style w:type="paragraph" w:styleId="CommentSubject">
    <w:name w:val="Comment Subject"/>
    <w:basedOn w:val="CommentText"/>
    <w:next w:val="CommentText"/>
    <w:autoRedefine w:val="0"/>
    <w:hidden w:val="0"/>
    <w:qFormat w:val="1"/>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und"/>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val="und"/>
    </w:rPr>
  </w:style>
  <w:style w:type="character" w:styleId="Heading1Char">
    <w:name w:val="Heading 1 Char"/>
    <w:next w:val="Heading1Char"/>
    <w:autoRedefine w:val="0"/>
    <w:hidden w:val="0"/>
    <w:qFormat w:val="0"/>
    <w:rPr>
      <w:rFonts w:ascii="Times New Roman" w:eastAsia="Times New Roman" w:hAnsi="Times New Roman"/>
      <w:b w:val="1"/>
      <w:bCs w:val="1"/>
      <w:w w:val="100"/>
      <w:kern w:val="36"/>
      <w:position w:val="-1"/>
      <w:sz w:val="48"/>
      <w:szCs w:val="48"/>
      <w:effect w:val="none"/>
      <w:vertAlign w:val="baseline"/>
      <w:cs w:val="0"/>
      <w:em w:val="none"/>
      <w:lang/>
    </w:rPr>
  </w:style>
  <w:style w:type="character" w:styleId="Heading2Char">
    <w:name w:val="Heading 2 Char"/>
    <w:next w:val="Heading2Char"/>
    <w:autoRedefine w:val="0"/>
    <w:hidden w:val="0"/>
    <w:qFormat w:val="0"/>
    <w:rPr>
      <w:rFonts w:ascii="Times New Roman" w:eastAsia="Times New Roman" w:hAnsi="Times New Roman"/>
      <w:b w:val="1"/>
      <w:bCs w:val="1"/>
      <w:w w:val="100"/>
      <w:position w:val="-1"/>
      <w:sz w:val="36"/>
      <w:szCs w:val="36"/>
      <w:effect w:val="none"/>
      <w:vertAlign w:val="baseline"/>
      <w:cs w:val="0"/>
      <w:em w:val="none"/>
      <w:lang/>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Myriad Pro" w:cs="Myriad Pro" w:hAnsi="Myriad Pro"/>
      <w:color w:val="000000"/>
      <w:w w:val="100"/>
      <w:position w:val="-1"/>
      <w:sz w:val="24"/>
      <w:szCs w:val="24"/>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6VbfFkslyRoJSlN726MwLlOiPw==">AMUW2mXVaU3Y32VXQCddWp0CNJgqTmnBlNj3KVHOM46nuHo1FwUokLASh5PpjHnWcFRK/TqsYlg9NaWVMPmFsKVuFSu+e+JwiHOhJsy/DzoUgMyErHr2q18=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2021-04-26T08:50:00Z</dcterms:created>
  <dc:creator>ivana.sunderic</dc:creator>
</cp:coreProperties>
</file>